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872" w:rsidRDefault="000E5C95" w:rsidP="005D1872">
      <w:pPr>
        <w:jc w:val="center"/>
        <w:rPr>
          <w:rFonts w:cstheme="minorHAnsi"/>
          <w:color w:val="1F497D" w:themeColor="text2"/>
        </w:rPr>
      </w:pPr>
      <w:r w:rsidRPr="000E5C95">
        <w:rPr>
          <w:rFonts w:cstheme="minorHAnsi"/>
          <w:b/>
          <w:color w:val="1F497D" w:themeColor="text2"/>
        </w:rPr>
        <w:drawing>
          <wp:inline distT="0" distB="0" distL="0" distR="0">
            <wp:extent cx="1708639" cy="1281479"/>
            <wp:effectExtent l="19050" t="0" r="5861" b="0"/>
            <wp:docPr id="2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nuevo.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08639" cy="1281479"/>
                    </a:xfrm>
                    <a:prstGeom prst="rect">
                      <a:avLst/>
                    </a:prstGeom>
                  </pic:spPr>
                </pic:pic>
              </a:graphicData>
            </a:graphic>
          </wp:inline>
        </w:drawing>
      </w:r>
    </w:p>
    <w:p w:rsidR="00575E7B" w:rsidRPr="005D1872" w:rsidRDefault="00575E7B" w:rsidP="005D1872">
      <w:pPr>
        <w:rPr>
          <w:rFonts w:cstheme="minorHAnsi"/>
          <w:b/>
          <w:color w:val="1F497D" w:themeColor="text2"/>
          <w:sz w:val="20"/>
          <w:szCs w:val="20"/>
        </w:rPr>
      </w:pPr>
      <w:r w:rsidRPr="005D1872">
        <w:rPr>
          <w:rFonts w:cstheme="minorHAnsi"/>
          <w:color w:val="1F497D" w:themeColor="text2"/>
          <w:sz w:val="20"/>
          <w:szCs w:val="20"/>
        </w:rPr>
        <w:t xml:space="preserve">RESUMEN </w:t>
      </w:r>
      <w:r w:rsidR="00DB7E6E" w:rsidRPr="005D1872">
        <w:rPr>
          <w:rFonts w:cstheme="minorHAnsi"/>
          <w:color w:val="1F497D" w:themeColor="text2"/>
          <w:sz w:val="20"/>
          <w:szCs w:val="20"/>
        </w:rPr>
        <w:t>E</w:t>
      </w:r>
      <w:r w:rsidRPr="005D1872">
        <w:rPr>
          <w:rFonts w:cstheme="minorHAnsi"/>
          <w:color w:val="1F497D" w:themeColor="text2"/>
          <w:sz w:val="20"/>
          <w:szCs w:val="20"/>
        </w:rPr>
        <w:t>JECUTIVO</w:t>
      </w:r>
    </w:p>
    <w:p w:rsidR="00D86380" w:rsidRPr="00575E7B" w:rsidRDefault="009A45C4" w:rsidP="00D86380">
      <w:pPr>
        <w:pStyle w:val="Ttulo1"/>
        <w:spacing w:before="0"/>
        <w:jc w:val="center"/>
        <w:rPr>
          <w:rFonts w:asciiTheme="minorHAnsi" w:hAnsiTheme="minorHAnsi" w:cstheme="minorHAnsi"/>
        </w:rPr>
      </w:pPr>
      <w:r w:rsidRPr="00575E7B">
        <w:rPr>
          <w:rFonts w:asciiTheme="minorHAnsi" w:hAnsiTheme="minorHAnsi" w:cstheme="minorHAnsi"/>
        </w:rPr>
        <w:t xml:space="preserve">Informe sobre </w:t>
      </w:r>
      <w:r w:rsidR="00D86380" w:rsidRPr="00575E7B">
        <w:rPr>
          <w:rFonts w:asciiTheme="minorHAnsi" w:hAnsiTheme="minorHAnsi" w:cstheme="minorHAnsi"/>
        </w:rPr>
        <w:t xml:space="preserve">Composición de </w:t>
      </w:r>
      <w:r w:rsidR="005F2944" w:rsidRPr="00575E7B">
        <w:rPr>
          <w:rFonts w:asciiTheme="minorHAnsi" w:hAnsiTheme="minorHAnsi" w:cstheme="minorHAnsi"/>
        </w:rPr>
        <w:t>G</w:t>
      </w:r>
      <w:r w:rsidRPr="00575E7B">
        <w:rPr>
          <w:rFonts w:asciiTheme="minorHAnsi" w:hAnsiTheme="minorHAnsi" w:cstheme="minorHAnsi"/>
        </w:rPr>
        <w:t>énero</w:t>
      </w:r>
    </w:p>
    <w:p w:rsidR="00A724F4" w:rsidRPr="00575E7B" w:rsidRDefault="009A45C4" w:rsidP="00D86380">
      <w:pPr>
        <w:pStyle w:val="Ttulo1"/>
        <w:spacing w:before="0"/>
        <w:jc w:val="center"/>
        <w:rPr>
          <w:rFonts w:asciiTheme="minorHAnsi" w:hAnsiTheme="minorHAnsi" w:cstheme="minorHAnsi"/>
        </w:rPr>
      </w:pPr>
      <w:r w:rsidRPr="00575E7B">
        <w:rPr>
          <w:rFonts w:asciiTheme="minorHAnsi" w:hAnsiTheme="minorHAnsi" w:cstheme="minorHAnsi"/>
        </w:rPr>
        <w:t xml:space="preserve">en los </w:t>
      </w:r>
      <w:r w:rsidR="005F2944" w:rsidRPr="00575E7B">
        <w:rPr>
          <w:rFonts w:asciiTheme="minorHAnsi" w:hAnsiTheme="minorHAnsi" w:cstheme="minorHAnsi"/>
        </w:rPr>
        <w:t>D</w:t>
      </w:r>
      <w:r w:rsidR="00575E7B">
        <w:rPr>
          <w:rFonts w:asciiTheme="minorHAnsi" w:hAnsiTheme="minorHAnsi" w:cstheme="minorHAnsi"/>
        </w:rPr>
        <w:t>irectorios de las E</w:t>
      </w:r>
      <w:r w:rsidRPr="00575E7B">
        <w:rPr>
          <w:rFonts w:asciiTheme="minorHAnsi" w:hAnsiTheme="minorHAnsi" w:cstheme="minorHAnsi"/>
        </w:rPr>
        <w:t xml:space="preserve">mpresas </w:t>
      </w:r>
      <w:r w:rsidR="00D86380" w:rsidRPr="00575E7B">
        <w:rPr>
          <w:rFonts w:asciiTheme="minorHAnsi" w:hAnsiTheme="minorHAnsi" w:cstheme="minorHAnsi"/>
        </w:rPr>
        <w:t>del Mercado de Capitales</w:t>
      </w:r>
    </w:p>
    <w:p w:rsidR="00575E7B" w:rsidRDefault="00575E7B" w:rsidP="00D86380">
      <w:pPr>
        <w:rPr>
          <w:rFonts w:cstheme="minorHAnsi"/>
          <w:b/>
        </w:rPr>
      </w:pPr>
    </w:p>
    <w:p w:rsidR="00575E7B" w:rsidRPr="00012DFE" w:rsidRDefault="004F053D" w:rsidP="00012DFE">
      <w:pPr>
        <w:rPr>
          <w:rStyle w:val="Textoennegrita"/>
          <w:rFonts w:cstheme="minorHAnsi"/>
          <w:bCs w:val="0"/>
        </w:rPr>
      </w:pPr>
      <w:r w:rsidRPr="00575E7B">
        <w:rPr>
          <w:rFonts w:cstheme="minorHAnsi"/>
          <w:b/>
        </w:rPr>
        <w:t>Presentación</w:t>
      </w:r>
    </w:p>
    <w:p w:rsidR="007961EB" w:rsidRDefault="00D25266" w:rsidP="00A41FB1">
      <w:pPr>
        <w:jc w:val="both"/>
        <w:rPr>
          <w:rFonts w:cstheme="minorHAnsi"/>
          <w:lang w:val="es-UY"/>
        </w:rPr>
      </w:pPr>
      <w:r w:rsidRPr="00575E7B">
        <w:rPr>
          <w:rFonts w:cstheme="minorHAnsi"/>
          <w:lang w:val="es-UY"/>
        </w:rPr>
        <w:t xml:space="preserve">En 2017 </w:t>
      </w:r>
      <w:r w:rsidR="00D86380" w:rsidRPr="00575E7B">
        <w:rPr>
          <w:rFonts w:cstheme="minorHAnsi"/>
          <w:lang w:val="es-UY"/>
        </w:rPr>
        <w:t>desde el área de Gobierno Corporativo de la CNV</w:t>
      </w:r>
      <w:r w:rsidR="00122787" w:rsidRPr="00575E7B">
        <w:rPr>
          <w:rFonts w:cstheme="minorHAnsi"/>
          <w:lang w:val="es-UY"/>
        </w:rPr>
        <w:t>, desarrolla</w:t>
      </w:r>
      <w:r w:rsidR="00231BB2" w:rsidRPr="00575E7B">
        <w:rPr>
          <w:rFonts w:cstheme="minorHAnsi"/>
          <w:lang w:val="es-UY"/>
        </w:rPr>
        <w:t>mos</w:t>
      </w:r>
      <w:r w:rsidR="00122787" w:rsidRPr="00575E7B">
        <w:rPr>
          <w:rFonts w:cstheme="minorHAnsi"/>
          <w:lang w:val="es-UY"/>
        </w:rPr>
        <w:t xml:space="preserve"> una investigación</w:t>
      </w:r>
      <w:r w:rsidRPr="00575E7B">
        <w:rPr>
          <w:rFonts w:cstheme="minorHAnsi"/>
          <w:lang w:val="es-UY"/>
        </w:rPr>
        <w:t xml:space="preserve"> sobre</w:t>
      </w:r>
      <w:r w:rsidR="00575E7B">
        <w:rPr>
          <w:rFonts w:cstheme="minorHAnsi"/>
          <w:lang w:val="es-UY"/>
        </w:rPr>
        <w:t xml:space="preserve"> </w:t>
      </w:r>
      <w:r w:rsidR="00B223EE" w:rsidRPr="00575E7B">
        <w:rPr>
          <w:rFonts w:cstheme="minorHAnsi"/>
          <w:lang w:val="es-UY"/>
        </w:rPr>
        <w:t>composición</w:t>
      </w:r>
      <w:r w:rsidR="00122787" w:rsidRPr="00575E7B">
        <w:rPr>
          <w:rFonts w:cstheme="minorHAnsi"/>
          <w:lang w:val="es-UY"/>
        </w:rPr>
        <w:t xml:space="preserve"> de género</w:t>
      </w:r>
      <w:r w:rsidRPr="00575E7B">
        <w:rPr>
          <w:rFonts w:cstheme="minorHAnsi"/>
          <w:lang w:val="es-UY"/>
        </w:rPr>
        <w:t xml:space="preserve"> en los directorios de las empresas en Argentina, </w:t>
      </w:r>
      <w:r w:rsidR="00122787" w:rsidRPr="00575E7B">
        <w:rPr>
          <w:rFonts w:cstheme="minorHAnsi"/>
          <w:lang w:val="es-UY"/>
        </w:rPr>
        <w:t xml:space="preserve">que se constituyó como </w:t>
      </w:r>
      <w:r w:rsidR="00B75FBF" w:rsidRPr="00575E7B">
        <w:rPr>
          <w:rFonts w:cstheme="minorHAnsi"/>
          <w:lang w:val="es-UY"/>
        </w:rPr>
        <w:t>el</w:t>
      </w:r>
      <w:r w:rsidR="008C275E" w:rsidRPr="00575E7B">
        <w:rPr>
          <w:rFonts w:cstheme="minorHAnsi"/>
          <w:lang w:val="es-UY"/>
        </w:rPr>
        <w:t xml:space="preserve"> primer</w:t>
      </w:r>
      <w:r w:rsidR="00575E7B" w:rsidRPr="00575E7B">
        <w:rPr>
          <w:rFonts w:cstheme="minorHAnsi"/>
          <w:lang w:val="es-UY"/>
        </w:rPr>
        <w:t xml:space="preserve"> </w:t>
      </w:r>
      <w:r w:rsidRPr="00575E7B">
        <w:rPr>
          <w:rFonts w:cstheme="minorHAnsi"/>
          <w:lang w:val="es-UY"/>
        </w:rPr>
        <w:t>“</w:t>
      </w:r>
      <w:r w:rsidRPr="00575E7B">
        <w:rPr>
          <w:rFonts w:cstheme="minorHAnsi"/>
          <w:i/>
          <w:lang w:val="es-UY"/>
        </w:rPr>
        <w:t xml:space="preserve">Informe sobre </w:t>
      </w:r>
      <w:r w:rsidR="00575E7B" w:rsidRPr="00575E7B">
        <w:rPr>
          <w:rFonts w:cstheme="minorHAnsi"/>
          <w:i/>
          <w:lang w:val="es-UY"/>
        </w:rPr>
        <w:t>Composición</w:t>
      </w:r>
      <w:r w:rsidRPr="00575E7B">
        <w:rPr>
          <w:rFonts w:cstheme="minorHAnsi"/>
          <w:i/>
          <w:lang w:val="es-UY"/>
        </w:rPr>
        <w:t xml:space="preserve"> de Género en los directorios de las empresas bajo el régimen de oferta pública</w:t>
      </w:r>
      <w:r w:rsidRPr="00575E7B">
        <w:rPr>
          <w:rFonts w:cstheme="minorHAnsi"/>
          <w:lang w:val="es-UY"/>
        </w:rPr>
        <w:t>”</w:t>
      </w:r>
      <w:r w:rsidR="00122787" w:rsidRPr="00575E7B">
        <w:rPr>
          <w:rFonts w:cstheme="minorHAnsi"/>
          <w:lang w:val="es-UY"/>
        </w:rPr>
        <w:t>.</w:t>
      </w:r>
    </w:p>
    <w:p w:rsidR="00B75FBF" w:rsidRPr="00012DFE" w:rsidRDefault="008C275E" w:rsidP="009A45C4">
      <w:pPr>
        <w:jc w:val="both"/>
        <w:rPr>
          <w:rStyle w:val="Textoennegrita"/>
          <w:b w:val="0"/>
          <w:bCs w:val="0"/>
          <w:lang w:val="es-UY"/>
        </w:rPr>
      </w:pPr>
      <w:r w:rsidRPr="00575E7B">
        <w:rPr>
          <w:rStyle w:val="Textoennegrita"/>
          <w:rFonts w:cstheme="minorHAnsi"/>
          <w:b w:val="0"/>
          <w:iCs/>
        </w:rPr>
        <w:t xml:space="preserve">Desde nuestra perspectiva como regulador del Mercado de Capitales nos propusimos medir </w:t>
      </w:r>
      <w:r w:rsidR="00B75FBF" w:rsidRPr="00575E7B">
        <w:rPr>
          <w:rStyle w:val="Textoennegrita"/>
          <w:rFonts w:cstheme="minorHAnsi"/>
          <w:b w:val="0"/>
          <w:iCs/>
        </w:rPr>
        <w:t>la participación de las mujeres en el ámbito de las empresas autoriz</w:t>
      </w:r>
      <w:r w:rsidR="00012DFE">
        <w:rPr>
          <w:rStyle w:val="Textoennegrita"/>
          <w:rFonts w:cstheme="minorHAnsi"/>
          <w:b w:val="0"/>
          <w:iCs/>
        </w:rPr>
        <w:t xml:space="preserve">adas a efectuar Oferta Pública, con el </w:t>
      </w:r>
      <w:r w:rsidR="00012DFE" w:rsidRPr="00065665">
        <w:rPr>
          <w:lang w:val="es-UY"/>
        </w:rPr>
        <w:t xml:space="preserve">objeto </w:t>
      </w:r>
      <w:r w:rsidR="00012DFE">
        <w:rPr>
          <w:lang w:val="es-UY"/>
        </w:rPr>
        <w:t xml:space="preserve">de </w:t>
      </w:r>
      <w:r w:rsidR="00012DFE" w:rsidRPr="00065665">
        <w:rPr>
          <w:lang w:val="es-UY"/>
        </w:rPr>
        <w:t>aportar información sobre el escenario actual de la participación femen</w:t>
      </w:r>
      <w:r w:rsidR="00012DFE">
        <w:rPr>
          <w:lang w:val="es-UY"/>
        </w:rPr>
        <w:t>ina en los puestos de liderazgo y a su vez</w:t>
      </w:r>
      <w:r w:rsidR="00012DFE" w:rsidRPr="00065665">
        <w:rPr>
          <w:lang w:val="es-UY"/>
        </w:rPr>
        <w:t xml:space="preserve"> concientizar respecto a los</w:t>
      </w:r>
      <w:r w:rsidR="00012DFE">
        <w:rPr>
          <w:lang w:val="es-UY"/>
        </w:rPr>
        <w:t xml:space="preserve"> </w:t>
      </w:r>
      <w:r w:rsidR="00012DFE" w:rsidRPr="00065665">
        <w:t xml:space="preserve">beneficios concretos de que las organizaciones empresariales cuenten con directorios más diversos. </w:t>
      </w:r>
    </w:p>
    <w:p w:rsidR="009A45C4" w:rsidRPr="003A185E" w:rsidRDefault="00012DFE" w:rsidP="003A185E">
      <w:pPr>
        <w:jc w:val="both"/>
        <w:rPr>
          <w:rFonts w:cs="Arial"/>
          <w:sz w:val="30"/>
          <w:szCs w:val="30"/>
        </w:rPr>
      </w:pPr>
      <w:r>
        <w:rPr>
          <w:rFonts w:cs="Arial"/>
          <w:bCs/>
          <w:iCs/>
        </w:rPr>
        <w:t>A</w:t>
      </w:r>
      <w:r w:rsidRPr="00065665">
        <w:rPr>
          <w:rFonts w:cs="Arial"/>
          <w:bCs/>
          <w:iCs/>
        </w:rPr>
        <w:t xml:space="preserve">lineados con los </w:t>
      </w:r>
      <w:r w:rsidRPr="00065665">
        <w:rPr>
          <w:lang w:val="es-UY"/>
        </w:rPr>
        <w:t xml:space="preserve">Principios de Gobierno Corporativo de la OCDE y del G20 y con el Women20 (W20), </w:t>
      </w:r>
      <w:r w:rsidRPr="00065665">
        <w:rPr>
          <w:rStyle w:val="Textoennegrita"/>
          <w:rFonts w:cs="Arial"/>
          <w:b w:val="0"/>
          <w:iCs/>
        </w:rPr>
        <w:t xml:space="preserve">entendemos que dentro del marco de las mejores prácticas resulta clave la diversidad en la composición de los directorios (género, rango etario, formación académica, credos, razas, nacionalidades, etc.) ya que enriquece la toma de decisiones empresariales. En este sentido, acortar la brecha de género y fomentar la inclusión femenina se traduce en acciones concretas de los líderes de las empresas y responsables de las políticas públicas para mejorar el acceso de las mujeres a cargos de toma de decisiones. </w:t>
      </w:r>
    </w:p>
    <w:p w:rsidR="00C44339" w:rsidRPr="00575E7B" w:rsidRDefault="00C44339" w:rsidP="00D86380">
      <w:pPr>
        <w:rPr>
          <w:rFonts w:cstheme="minorHAnsi"/>
          <w:lang w:val="es-UY"/>
        </w:rPr>
      </w:pPr>
    </w:p>
    <w:p w:rsidR="00C44339" w:rsidRPr="00C44339" w:rsidRDefault="00C44339" w:rsidP="00C44339">
      <w:pPr>
        <w:tabs>
          <w:tab w:val="left" w:pos="8222"/>
        </w:tabs>
        <w:spacing w:before="120" w:after="120"/>
        <w:jc w:val="both"/>
        <w:rPr>
          <w:rFonts w:eastAsiaTheme="minorEastAsia" w:cstheme="minorHAnsi"/>
          <w:b/>
          <w:lang w:val="es-UY"/>
        </w:rPr>
      </w:pPr>
      <w:r w:rsidRPr="00C44339">
        <w:rPr>
          <w:rFonts w:eastAsiaTheme="minorEastAsia" w:cstheme="minorHAnsi"/>
          <w:b/>
          <w:lang w:val="es-UY"/>
        </w:rPr>
        <w:t>Situación General</w:t>
      </w:r>
    </w:p>
    <w:p w:rsidR="0083000D" w:rsidRPr="00C606CF" w:rsidRDefault="00575E7B" w:rsidP="00C606CF">
      <w:pPr>
        <w:tabs>
          <w:tab w:val="left" w:pos="8222"/>
        </w:tabs>
        <w:spacing w:before="120" w:after="120"/>
        <w:jc w:val="both"/>
        <w:rPr>
          <w:rFonts w:eastAsiaTheme="minorEastAsia" w:cstheme="minorHAnsi"/>
          <w:lang w:val="es-UY"/>
        </w:rPr>
      </w:pPr>
      <w:r w:rsidRPr="00C44339">
        <w:rPr>
          <w:rFonts w:eastAsiaTheme="minorEastAsia" w:cstheme="minorHAnsi"/>
          <w:lang w:val="es-UY"/>
        </w:rPr>
        <w:t xml:space="preserve">El promedio de </w:t>
      </w:r>
      <w:r w:rsidR="00D24D7E" w:rsidRPr="00C44339">
        <w:rPr>
          <w:rFonts w:eastAsiaTheme="minorEastAsia" w:cstheme="minorHAnsi"/>
          <w:lang w:val="es-UY"/>
        </w:rPr>
        <w:t>representatividad femenina en cargos de dirección para el total del mercado de capitales argentino es del 10,4% considerando el período interanual entre 2013 y 2017, presentando una tendencia estable con altibajos de poca significatividad respecto del promedio a lo largo del período relevado.</w:t>
      </w:r>
      <w:r w:rsidR="00C44339" w:rsidRPr="00C44339">
        <w:rPr>
          <w:rFonts w:eastAsiaTheme="minorEastAsia" w:cstheme="minorHAnsi"/>
          <w:lang w:val="es-UY"/>
        </w:rPr>
        <w:t xml:space="preserve"> </w:t>
      </w:r>
    </w:p>
    <w:p w:rsidR="00F701F8" w:rsidRDefault="00D24D7E" w:rsidP="00F701F8">
      <w:pPr>
        <w:spacing w:before="120" w:after="120"/>
        <w:jc w:val="both"/>
        <w:rPr>
          <w:rFonts w:eastAsiaTheme="minorEastAsia" w:cstheme="minorHAnsi"/>
          <w:lang w:val="es-UY"/>
        </w:rPr>
      </w:pPr>
      <w:r w:rsidRPr="00F701F8">
        <w:rPr>
          <w:rFonts w:eastAsiaTheme="minorEastAsia" w:cstheme="minorHAnsi"/>
          <w:lang w:val="es-UY"/>
        </w:rPr>
        <w:t xml:space="preserve">En el año 2017, el 53,9% de las empresas bajo el régimen de oferta pública cuentan con al menos una (1) mujer en su órgano directivo. </w:t>
      </w:r>
    </w:p>
    <w:p w:rsidR="00F701F8" w:rsidRDefault="00F701F8" w:rsidP="00F701F8">
      <w:pPr>
        <w:spacing w:before="120" w:after="120"/>
        <w:jc w:val="both"/>
        <w:rPr>
          <w:rFonts w:eastAsiaTheme="minorEastAsia" w:cstheme="minorHAnsi"/>
          <w:lang w:val="es-UY"/>
        </w:rPr>
      </w:pPr>
    </w:p>
    <w:p w:rsidR="00F701F8" w:rsidRDefault="00F701F8" w:rsidP="00F701F8">
      <w:pPr>
        <w:spacing w:before="120" w:after="120"/>
        <w:jc w:val="both"/>
      </w:pPr>
      <w:r w:rsidRPr="00065665">
        <w:fldChar w:fldCharType="begin"/>
      </w:r>
      <w:r w:rsidRPr="00065665">
        <w:instrText xml:space="preserve"> LINK Excel.Sheet.12 "G:\\INFORME DE GENERO\\nuevo relevamiento V1.xlsx!Tabla entidades!F2C1:F7C6" "" \a \p </w:instrText>
      </w:r>
      <w:r>
        <w:instrText xml:space="preserve"> \* MERGEFORMAT </w:instrText>
      </w:r>
      <w:r w:rsidRPr="00065665">
        <w:fldChar w:fldCharType="separate"/>
      </w:r>
      <w:r>
        <w:rPr>
          <w:noProof/>
          <w:lang w:eastAsia="es-ES"/>
        </w:rPr>
        <w:drawing>
          <wp:inline distT="0" distB="0" distL="0" distR="0">
            <wp:extent cx="6076950" cy="2305050"/>
            <wp:effectExtent l="0" t="0" r="0" b="0"/>
            <wp:docPr id="4" name="Objet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3"/>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76950" cy="2305050"/>
                    </a:xfrm>
                    <a:prstGeom prst="rect">
                      <a:avLst/>
                    </a:prstGeom>
                    <a:noFill/>
                    <a:ln>
                      <a:noFill/>
                    </a:ln>
                  </pic:spPr>
                </pic:pic>
              </a:graphicData>
            </a:graphic>
          </wp:inline>
        </w:drawing>
      </w:r>
      <w:r w:rsidRPr="00065665">
        <w:fldChar w:fldCharType="end"/>
      </w:r>
      <w:r w:rsidRPr="00F701F8">
        <w:drawing>
          <wp:inline distT="0" distB="0" distL="0" distR="0">
            <wp:extent cx="4746625" cy="445135"/>
            <wp:effectExtent l="0" t="0" r="0" b="0"/>
            <wp:docPr id="82" name="Imagen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46625" cy="445135"/>
                    </a:xfrm>
                    <a:prstGeom prst="rect">
                      <a:avLst/>
                    </a:prstGeom>
                    <a:noFill/>
                    <a:ln>
                      <a:noFill/>
                    </a:ln>
                  </pic:spPr>
                </pic:pic>
              </a:graphicData>
            </a:graphic>
          </wp:inline>
        </w:drawing>
      </w:r>
    </w:p>
    <w:p w:rsidR="00F701F8" w:rsidRDefault="00F701F8" w:rsidP="00F701F8">
      <w:pPr>
        <w:pStyle w:val="Prrafodelista"/>
        <w:spacing w:before="120" w:after="120"/>
        <w:jc w:val="both"/>
        <w:rPr>
          <w:rFonts w:eastAsiaTheme="minorEastAsia" w:cstheme="minorHAnsi"/>
          <w:lang w:val="es-UY"/>
        </w:rPr>
      </w:pPr>
    </w:p>
    <w:p w:rsidR="00F701F8" w:rsidRPr="00F701F8" w:rsidRDefault="00F701F8" w:rsidP="00F701F8">
      <w:pPr>
        <w:spacing w:before="120" w:after="120"/>
        <w:jc w:val="both"/>
        <w:rPr>
          <w:rFonts w:eastAsiaTheme="minorEastAsia" w:cstheme="minorHAnsi"/>
          <w:lang w:val="es-UY"/>
        </w:rPr>
      </w:pPr>
      <w:r w:rsidRPr="00F701F8">
        <w:rPr>
          <w:rFonts w:eastAsiaTheme="minorEastAsia" w:cstheme="minorHAnsi"/>
          <w:lang w:val="es-UY"/>
        </w:rPr>
        <w:t xml:space="preserve">Del total de directoras de este período, el 58,1% tienen cargos de directoras titulares, de las cuales el 3% son presidentas del directorio y el 8,5% son Vicepresidentas. </w:t>
      </w:r>
    </w:p>
    <w:p w:rsidR="00F701F8" w:rsidRDefault="00F701F8" w:rsidP="00F701F8">
      <w:pPr>
        <w:spacing w:before="120" w:after="120"/>
        <w:jc w:val="both"/>
        <w:rPr>
          <w:rFonts w:eastAsiaTheme="minorEastAsia" w:cstheme="minorHAnsi"/>
          <w:lang w:val="es-UY"/>
        </w:rPr>
      </w:pPr>
    </w:p>
    <w:p w:rsidR="00F701F8" w:rsidRDefault="00F701F8" w:rsidP="00F701F8">
      <w:pPr>
        <w:spacing w:before="120" w:after="120"/>
        <w:jc w:val="both"/>
        <w:rPr>
          <w:rFonts w:eastAsiaTheme="minorEastAsia" w:cstheme="minorHAnsi"/>
          <w:lang w:val="es-UY"/>
        </w:rPr>
      </w:pPr>
      <w:r w:rsidRPr="00F701F8">
        <w:rPr>
          <w:rFonts w:eastAsiaTheme="minorEastAsia" w:cstheme="minorHAnsi"/>
          <w:lang w:val="es-UY"/>
        </w:rPr>
        <w:drawing>
          <wp:inline distT="0" distB="0" distL="0" distR="0">
            <wp:extent cx="4284467" cy="2197290"/>
            <wp:effectExtent l="0" t="0" r="1905" b="0"/>
            <wp:docPr id="5"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95646" cy="2203023"/>
                    </a:xfrm>
                    <a:prstGeom prst="rect">
                      <a:avLst/>
                    </a:prstGeom>
                    <a:noFill/>
                  </pic:spPr>
                </pic:pic>
              </a:graphicData>
            </a:graphic>
          </wp:inline>
        </w:drawing>
      </w:r>
    </w:p>
    <w:p w:rsidR="00D552A4" w:rsidRPr="00D552A4" w:rsidRDefault="00D552A4" w:rsidP="00F701F8">
      <w:pPr>
        <w:spacing w:before="120" w:after="120"/>
        <w:jc w:val="both"/>
        <w:rPr>
          <w:rFonts w:eastAsiaTheme="minorEastAsia" w:cstheme="minorHAnsi"/>
          <w:sz w:val="16"/>
          <w:szCs w:val="16"/>
          <w:lang w:val="es-UY"/>
        </w:rPr>
      </w:pPr>
      <w:r w:rsidRPr="00D552A4">
        <w:rPr>
          <w:rFonts w:eastAsiaTheme="minorEastAsia" w:cstheme="minorHAnsi"/>
          <w:b/>
          <w:sz w:val="16"/>
          <w:szCs w:val="16"/>
          <w:lang w:val="es-UY"/>
        </w:rPr>
        <w:t xml:space="preserve">Figura </w:t>
      </w:r>
      <w:r>
        <w:rPr>
          <w:rFonts w:eastAsiaTheme="minorEastAsia" w:cstheme="minorHAnsi"/>
          <w:b/>
          <w:sz w:val="16"/>
          <w:szCs w:val="16"/>
          <w:lang w:val="es-UY"/>
        </w:rPr>
        <w:t>1</w:t>
      </w:r>
      <w:r w:rsidRPr="00D552A4">
        <w:rPr>
          <w:rFonts w:eastAsiaTheme="minorEastAsia" w:cstheme="minorHAnsi"/>
          <w:sz w:val="16"/>
          <w:szCs w:val="16"/>
          <w:lang w:val="es-UY"/>
        </w:rPr>
        <w:t>: Cargos ocupados por mujeres en los Directorios al 30/04/2017</w:t>
      </w:r>
    </w:p>
    <w:p w:rsidR="00D552A4" w:rsidRDefault="00D552A4" w:rsidP="00F701F8">
      <w:pPr>
        <w:spacing w:before="120" w:after="120"/>
        <w:jc w:val="both"/>
        <w:rPr>
          <w:rFonts w:eastAsiaTheme="minorEastAsia" w:cstheme="minorHAnsi"/>
          <w:b/>
          <w:lang w:val="es-UY"/>
        </w:rPr>
      </w:pPr>
    </w:p>
    <w:p w:rsidR="003A185E" w:rsidRDefault="003A185E" w:rsidP="00F701F8">
      <w:pPr>
        <w:spacing w:before="120" w:after="120"/>
        <w:jc w:val="both"/>
        <w:rPr>
          <w:rFonts w:eastAsiaTheme="minorEastAsia" w:cstheme="minorHAnsi"/>
          <w:b/>
          <w:lang w:val="es-UY"/>
        </w:rPr>
      </w:pPr>
    </w:p>
    <w:p w:rsidR="00F701F8" w:rsidRPr="00D552A4" w:rsidRDefault="00D552A4" w:rsidP="00F701F8">
      <w:pPr>
        <w:spacing w:before="120" w:after="120"/>
        <w:jc w:val="both"/>
        <w:rPr>
          <w:rFonts w:eastAsiaTheme="minorEastAsia" w:cstheme="minorHAnsi"/>
          <w:b/>
          <w:lang w:val="es-UY"/>
        </w:rPr>
      </w:pPr>
      <w:r w:rsidRPr="00D552A4">
        <w:rPr>
          <w:rFonts w:eastAsiaTheme="minorEastAsia" w:cstheme="minorHAnsi"/>
          <w:b/>
          <w:lang w:val="es-UY"/>
        </w:rPr>
        <w:t>Directores Independientes</w:t>
      </w:r>
    </w:p>
    <w:p w:rsidR="00D24D7E" w:rsidRDefault="00D24D7E" w:rsidP="00D552A4">
      <w:pPr>
        <w:spacing w:before="120" w:after="120"/>
        <w:jc w:val="both"/>
        <w:rPr>
          <w:rFonts w:eastAsiaTheme="minorEastAsia" w:cstheme="minorHAnsi"/>
          <w:lang w:val="es-UY"/>
        </w:rPr>
      </w:pPr>
      <w:r w:rsidRPr="00D552A4">
        <w:rPr>
          <w:rFonts w:eastAsiaTheme="minorEastAsia" w:cstheme="minorHAnsi"/>
          <w:lang w:val="es-UY"/>
        </w:rPr>
        <w:t>Respecto al carácter de independencia de los directores, no se encontraron variaciones significativas con relación al género. El promedio general de directores independientes es del 22,7% y los porcentajes son similares para ambos géneros.</w:t>
      </w:r>
    </w:p>
    <w:p w:rsidR="003A185E" w:rsidRDefault="003A185E" w:rsidP="00D552A4">
      <w:pPr>
        <w:spacing w:before="120" w:after="120"/>
        <w:jc w:val="both"/>
        <w:rPr>
          <w:rFonts w:eastAsiaTheme="minorEastAsia" w:cstheme="minorHAnsi"/>
          <w:lang w:val="es-UY"/>
        </w:rPr>
      </w:pPr>
    </w:p>
    <w:p w:rsidR="00D552A4" w:rsidRDefault="00D552A4" w:rsidP="00D552A4">
      <w:pPr>
        <w:spacing w:before="120" w:after="120"/>
        <w:jc w:val="both"/>
        <w:rPr>
          <w:rFonts w:eastAsiaTheme="minorEastAsia" w:cstheme="minorHAnsi"/>
          <w:b/>
          <w:lang w:val="es-UY"/>
        </w:rPr>
      </w:pPr>
      <w:r w:rsidRPr="00D552A4">
        <w:rPr>
          <w:rFonts w:eastAsiaTheme="minorEastAsia" w:cstheme="minorHAnsi"/>
          <w:b/>
          <w:lang w:val="es-UY"/>
        </w:rPr>
        <w:t>Análisis Sectorial</w:t>
      </w:r>
    </w:p>
    <w:p w:rsidR="00D552A4" w:rsidRPr="00065665" w:rsidRDefault="00D552A4" w:rsidP="00D552A4">
      <w:pPr>
        <w:tabs>
          <w:tab w:val="left" w:pos="8222"/>
        </w:tabs>
        <w:jc w:val="both"/>
        <w:rPr>
          <w:lang w:val="es-UY"/>
        </w:rPr>
      </w:pPr>
      <w:r>
        <w:rPr>
          <w:lang w:val="es-UY"/>
        </w:rPr>
        <w:t>El</w:t>
      </w:r>
      <w:r w:rsidRPr="00065665">
        <w:rPr>
          <w:lang w:val="es-UY"/>
        </w:rPr>
        <w:t xml:space="preserve"> sector de consumo y otros servicios y el sector de infraestructura y energía son los que mayor representatividad femenina presentan: un 29,5% y 10,9% respectivamente, al 30 de abril de 2017. </w:t>
      </w:r>
    </w:p>
    <w:p w:rsidR="00D552A4" w:rsidRPr="00D552A4" w:rsidRDefault="00D552A4" w:rsidP="00D552A4">
      <w:pPr>
        <w:spacing w:before="120" w:after="120"/>
        <w:jc w:val="both"/>
        <w:rPr>
          <w:rFonts w:eastAsiaTheme="minorEastAsia" w:cstheme="minorHAnsi"/>
          <w:b/>
          <w:lang w:val="es-UY"/>
        </w:rPr>
      </w:pPr>
    </w:p>
    <w:p w:rsidR="00D552A4" w:rsidRPr="00D552A4" w:rsidRDefault="00D552A4" w:rsidP="00D552A4">
      <w:pPr>
        <w:spacing w:before="120" w:after="120"/>
        <w:jc w:val="both"/>
        <w:rPr>
          <w:rFonts w:eastAsiaTheme="minorEastAsia" w:cstheme="minorHAnsi"/>
          <w:lang w:val="es-UY"/>
        </w:rPr>
      </w:pPr>
      <w:r w:rsidRPr="00065665">
        <w:rPr>
          <w:lang w:val="es-UY"/>
        </w:rPr>
        <w:object w:dxaOrig="9495" w:dyaOrig="50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0.3pt;height:202.6pt" o:ole="">
            <v:imagedata r:id="rId12" o:title=""/>
          </v:shape>
          <o:OLEObject Type="Embed" ProgID="Excel.Sheet.12" ShapeID="_x0000_i1025" DrawAspect="Content" ObjectID="_1581898085" r:id="rId13"/>
        </w:object>
      </w:r>
    </w:p>
    <w:p w:rsidR="0083000D" w:rsidRPr="00575E7B" w:rsidRDefault="00D552A4" w:rsidP="0083000D">
      <w:pPr>
        <w:pStyle w:val="Prrafodelista"/>
        <w:spacing w:before="120" w:after="120"/>
        <w:ind w:left="284" w:hanging="284"/>
        <w:jc w:val="both"/>
        <w:rPr>
          <w:rFonts w:eastAsiaTheme="minorEastAsia" w:cstheme="minorHAnsi"/>
          <w:lang w:val="es-UY"/>
        </w:rPr>
      </w:pPr>
      <w:r w:rsidRPr="00D552A4">
        <w:rPr>
          <w:rFonts w:eastAsiaTheme="minorEastAsia" w:cstheme="minorHAnsi"/>
          <w:lang w:val="es-UY"/>
        </w:rPr>
        <w:drawing>
          <wp:inline distT="0" distB="0" distL="0" distR="0">
            <wp:extent cx="4746625" cy="198755"/>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46625" cy="198755"/>
                    </a:xfrm>
                    <a:prstGeom prst="rect">
                      <a:avLst/>
                    </a:prstGeom>
                    <a:noFill/>
                    <a:ln>
                      <a:noFill/>
                    </a:ln>
                  </pic:spPr>
                </pic:pic>
              </a:graphicData>
            </a:graphic>
          </wp:inline>
        </w:drawing>
      </w:r>
    </w:p>
    <w:p w:rsidR="003A185E" w:rsidRDefault="003A185E" w:rsidP="003A185E">
      <w:pPr>
        <w:tabs>
          <w:tab w:val="left" w:pos="8222"/>
        </w:tabs>
        <w:jc w:val="both"/>
        <w:rPr>
          <w:rFonts w:eastAsiaTheme="minorEastAsia" w:cstheme="minorHAnsi"/>
          <w:b/>
          <w:lang w:val="es-UY"/>
        </w:rPr>
      </w:pPr>
      <w:r>
        <w:rPr>
          <w:rFonts w:eastAsiaTheme="minorEastAsia" w:cstheme="minorHAnsi"/>
          <w:b/>
          <w:lang w:val="es-UY"/>
        </w:rPr>
        <w:t xml:space="preserve"> </w:t>
      </w:r>
    </w:p>
    <w:p w:rsidR="003A185E" w:rsidRPr="00065665" w:rsidRDefault="003A185E" w:rsidP="003A185E">
      <w:pPr>
        <w:tabs>
          <w:tab w:val="left" w:pos="8222"/>
        </w:tabs>
        <w:jc w:val="both"/>
        <w:rPr>
          <w:lang w:val="es-UY"/>
        </w:rPr>
      </w:pPr>
      <w:r w:rsidRPr="00065665">
        <w:rPr>
          <w:lang w:val="es-UY"/>
        </w:rPr>
        <w:t>El sector de servicios financieros es el que mayor cantidad de directoras presenta al 30 de abril del 2017, donde 58 de las 634 bancas son ocupadas por mujeres. En este sector, existe una tendencia creciente en la participación femenina en cargos de dirección a lo largo del período relevado.</w:t>
      </w:r>
    </w:p>
    <w:p w:rsidR="003A185E" w:rsidRDefault="003A185E" w:rsidP="00D552A4">
      <w:pPr>
        <w:tabs>
          <w:tab w:val="left" w:pos="8222"/>
        </w:tabs>
        <w:spacing w:before="120" w:after="120"/>
        <w:jc w:val="both"/>
        <w:rPr>
          <w:lang w:val="es-UY"/>
        </w:rPr>
      </w:pPr>
      <w:r w:rsidRPr="00065665">
        <w:rPr>
          <w:lang w:val="es-UY"/>
        </w:rPr>
        <w:t>El sector de infraestructura y energía ocupa el segundo lugar en cantidad de directoras, presentando 57 directoras sobre un total de 525 bancas del sector al 30 de abril del 2017</w:t>
      </w:r>
      <w:r>
        <w:rPr>
          <w:lang w:val="es-UY"/>
        </w:rPr>
        <w:t>.</w:t>
      </w:r>
    </w:p>
    <w:p w:rsidR="003A185E" w:rsidRDefault="003A185E" w:rsidP="00D552A4">
      <w:pPr>
        <w:tabs>
          <w:tab w:val="left" w:pos="8222"/>
        </w:tabs>
        <w:spacing w:before="120" w:after="120"/>
        <w:jc w:val="both"/>
        <w:rPr>
          <w:rFonts w:eastAsiaTheme="minorEastAsia" w:cstheme="minorHAnsi"/>
          <w:b/>
          <w:lang w:val="es-UY"/>
        </w:rPr>
      </w:pPr>
      <w:r w:rsidRPr="003A185E">
        <w:rPr>
          <w:rFonts w:eastAsiaTheme="minorEastAsia" w:cstheme="minorHAnsi"/>
          <w:b/>
          <w:lang w:val="es-UY"/>
        </w:rPr>
        <w:drawing>
          <wp:inline distT="0" distB="0" distL="0" distR="0">
            <wp:extent cx="5265127" cy="2376853"/>
            <wp:effectExtent l="19050" t="0" r="0" b="0"/>
            <wp:docPr id="6" name="Imagen 3"/>
            <wp:cNvGraphicFramePr/>
            <a:graphic xmlns:a="http://schemas.openxmlformats.org/drawingml/2006/main">
              <a:graphicData uri="http://schemas.openxmlformats.org/drawingml/2006/picture">
                <pic:pic xmlns:pic="http://schemas.openxmlformats.org/drawingml/2006/picture">
                  <pic:nvPicPr>
                    <pic:cNvPr id="6" name="5 Imagen"/>
                    <pic:cNvPicPr/>
                  </pic:nvPicPr>
                  <pic:blipFill>
                    <a:blip r:embed="rId15" cstate="print">
                      <a:extLst>
                        <a:ext uri="{28A0092B-C50C-407E-A947-70E740481C1C}">
                          <a14:useLocalDpi xmlns:p="http://schemas.openxmlformats.org/presentationml/2006/main" xmlns:a14="http://schemas.microsoft.com/office/drawing/2010/main" xmlns="" xmlns:lc="http://schemas.openxmlformats.org/drawingml/2006/lockedCanvas" val="0"/>
                        </a:ext>
                      </a:extLst>
                    </a:blip>
                    <a:srcRect/>
                    <a:stretch>
                      <a:fillRect/>
                    </a:stretch>
                  </pic:blipFill>
                  <pic:spPr bwMode="auto">
                    <a:xfrm>
                      <a:off x="0" y="0"/>
                      <a:ext cx="5266996" cy="2377697"/>
                    </a:xfrm>
                    <a:prstGeom prst="rect">
                      <a:avLst/>
                    </a:prstGeom>
                    <a:noFill/>
                  </pic:spPr>
                </pic:pic>
              </a:graphicData>
            </a:graphic>
          </wp:inline>
        </w:drawing>
      </w:r>
    </w:p>
    <w:p w:rsidR="003A185E" w:rsidRDefault="003A185E" w:rsidP="00D552A4">
      <w:pPr>
        <w:tabs>
          <w:tab w:val="left" w:pos="8222"/>
        </w:tabs>
        <w:spacing w:before="120" w:after="120"/>
        <w:jc w:val="both"/>
        <w:rPr>
          <w:rFonts w:eastAsiaTheme="minorEastAsia" w:cstheme="minorHAnsi"/>
          <w:b/>
          <w:lang w:val="es-UY"/>
        </w:rPr>
      </w:pPr>
      <w:r w:rsidRPr="003A185E">
        <w:rPr>
          <w:rFonts w:eastAsiaTheme="minorEastAsia" w:cstheme="minorHAnsi"/>
          <w:b/>
          <w:lang w:val="es-UY"/>
        </w:rPr>
        <w:lastRenderedPageBreak/>
        <w:drawing>
          <wp:inline distT="0" distB="0" distL="0" distR="0">
            <wp:extent cx="4324350" cy="181074"/>
            <wp:effectExtent l="19050" t="0" r="0" b="0"/>
            <wp:docPr id="81" name="Imagen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24676" cy="181088"/>
                    </a:xfrm>
                    <a:prstGeom prst="rect">
                      <a:avLst/>
                    </a:prstGeom>
                    <a:noFill/>
                    <a:ln>
                      <a:noFill/>
                    </a:ln>
                  </pic:spPr>
                </pic:pic>
              </a:graphicData>
            </a:graphic>
          </wp:inline>
        </w:drawing>
      </w:r>
    </w:p>
    <w:p w:rsidR="00D552A4" w:rsidRPr="00D552A4" w:rsidRDefault="00D552A4" w:rsidP="00D552A4">
      <w:pPr>
        <w:tabs>
          <w:tab w:val="left" w:pos="8222"/>
        </w:tabs>
        <w:spacing w:before="120" w:after="120"/>
        <w:jc w:val="both"/>
        <w:rPr>
          <w:rFonts w:eastAsiaTheme="minorEastAsia" w:cstheme="minorHAnsi"/>
          <w:b/>
          <w:lang w:val="es-UY"/>
        </w:rPr>
      </w:pPr>
      <w:r w:rsidRPr="00D552A4">
        <w:rPr>
          <w:rFonts w:eastAsiaTheme="minorEastAsia" w:cstheme="minorHAnsi"/>
          <w:b/>
          <w:lang w:val="es-UY"/>
        </w:rPr>
        <w:t>Empresas Abiertas</w:t>
      </w:r>
    </w:p>
    <w:p w:rsidR="003A185E" w:rsidRPr="00065665" w:rsidRDefault="003A185E" w:rsidP="003A185E">
      <w:pPr>
        <w:tabs>
          <w:tab w:val="left" w:pos="8222"/>
        </w:tabs>
        <w:jc w:val="both"/>
        <w:rPr>
          <w:lang w:val="es-UY"/>
        </w:rPr>
      </w:pPr>
      <w:r w:rsidRPr="00065665">
        <w:rPr>
          <w:lang w:val="es-UY"/>
        </w:rPr>
        <w:t xml:space="preserve">En Argentina sólo el 41% de las entidades bajo el régimen de oferta pública ofrecen sus acciones, el resto de las empresas hacen oferta pública de deuda (obligaciones negociables). </w:t>
      </w:r>
    </w:p>
    <w:p w:rsidR="0083000D" w:rsidRPr="00D552A4" w:rsidRDefault="003A185E" w:rsidP="00D552A4">
      <w:pPr>
        <w:tabs>
          <w:tab w:val="left" w:pos="8222"/>
        </w:tabs>
        <w:spacing w:before="120" w:after="120"/>
        <w:jc w:val="both"/>
        <w:rPr>
          <w:rFonts w:eastAsiaTheme="minorEastAsia" w:cstheme="minorHAnsi"/>
          <w:lang w:val="es-UY"/>
        </w:rPr>
      </w:pPr>
      <w:r>
        <w:rPr>
          <w:rFonts w:eastAsiaTheme="minorEastAsia" w:cstheme="minorHAnsi"/>
          <w:lang w:val="es-UY"/>
        </w:rPr>
        <w:t>De esas</w:t>
      </w:r>
      <w:r w:rsidR="00D24D7E" w:rsidRPr="00D552A4">
        <w:rPr>
          <w:rFonts w:eastAsiaTheme="minorEastAsia" w:cstheme="minorHAnsi"/>
          <w:lang w:val="es-UY"/>
        </w:rPr>
        <w:t xml:space="preserve"> empresas abiertas, el promedio interanual del porcentaje de mujeres que ocupan puestos de dirección es 8,9%, casi 2 p.p. por debajo del promedio general para la totalidad de las empresas en el régimen de oferta pública. En este grupo de empresas, existe una significativa tendencia decreciente en la cantidad de mujeres de ocupan cargos de dirección pasando de 9,4% en 2013 a 7,7% en 2017. </w:t>
      </w:r>
    </w:p>
    <w:p w:rsidR="00D24D7E" w:rsidRPr="00D552A4" w:rsidRDefault="00D24D7E" w:rsidP="00D552A4">
      <w:pPr>
        <w:tabs>
          <w:tab w:val="left" w:pos="8222"/>
        </w:tabs>
        <w:spacing w:before="120" w:after="120"/>
        <w:jc w:val="both"/>
        <w:rPr>
          <w:rFonts w:eastAsiaTheme="minorEastAsia" w:cstheme="minorHAnsi"/>
          <w:lang w:val="es-UY"/>
        </w:rPr>
      </w:pPr>
      <w:r w:rsidRPr="00D552A4">
        <w:rPr>
          <w:rFonts w:eastAsiaTheme="minorEastAsia" w:cstheme="minorHAnsi"/>
          <w:lang w:val="es-UY"/>
        </w:rPr>
        <w:t>Al tomar la segmentación por capitalización bursátil, puede observarse que en empresas con capitalización bursátil alta y baja, la representatividad femenina presenta porcentajes similares al promedio general de empresas abiertas. Las empresas de capitalización búrsatil media tienen menor participación femenina en sus directorios; solo el 4,97% de los cargos de dirección son ocupados por mujeres en este tipo de empresas en el último año.</w:t>
      </w:r>
    </w:p>
    <w:p w:rsidR="00D24D7E" w:rsidRDefault="00D24D7E" w:rsidP="00D552A4">
      <w:pPr>
        <w:tabs>
          <w:tab w:val="left" w:pos="8222"/>
        </w:tabs>
        <w:spacing w:before="120" w:after="120"/>
        <w:jc w:val="both"/>
        <w:rPr>
          <w:rFonts w:eastAsiaTheme="minorEastAsia" w:cstheme="minorHAnsi"/>
          <w:lang w:val="es-UY"/>
        </w:rPr>
      </w:pPr>
      <w:r w:rsidRPr="00D552A4">
        <w:rPr>
          <w:rFonts w:eastAsiaTheme="minorEastAsia" w:cstheme="minorHAnsi"/>
          <w:lang w:val="es-UY"/>
        </w:rPr>
        <w:t>La mayor concentración de cargos de dirección ocupados por mujeres se encuentra en las empresas de baja capitalización bursátil del sector de infraestructura y energía seguido por el sector de industrias manufactureras.</w:t>
      </w:r>
    </w:p>
    <w:p w:rsidR="003A185E" w:rsidRPr="00D552A4" w:rsidRDefault="003A185E" w:rsidP="00D552A4">
      <w:pPr>
        <w:tabs>
          <w:tab w:val="left" w:pos="8222"/>
        </w:tabs>
        <w:spacing w:before="120" w:after="120"/>
        <w:jc w:val="both"/>
        <w:rPr>
          <w:rFonts w:eastAsiaTheme="minorEastAsia" w:cstheme="minorHAnsi"/>
          <w:lang w:val="es-UY"/>
        </w:rPr>
      </w:pPr>
    </w:p>
    <w:p w:rsidR="0083000D" w:rsidRPr="003A185E" w:rsidRDefault="003A185E" w:rsidP="003A185E">
      <w:pPr>
        <w:tabs>
          <w:tab w:val="left" w:pos="8222"/>
        </w:tabs>
        <w:spacing w:before="120" w:after="120"/>
        <w:jc w:val="both"/>
        <w:rPr>
          <w:rFonts w:eastAsiaTheme="minorEastAsia" w:cstheme="minorHAnsi"/>
          <w:b/>
          <w:lang w:val="es-UY"/>
        </w:rPr>
      </w:pPr>
      <w:r w:rsidRPr="003A185E">
        <w:rPr>
          <w:rFonts w:eastAsiaTheme="minorEastAsia" w:cstheme="minorHAnsi"/>
          <w:b/>
          <w:lang w:val="es-UY"/>
        </w:rPr>
        <w:t>PYMES</w:t>
      </w:r>
    </w:p>
    <w:p w:rsidR="00D24D7E" w:rsidRDefault="00D24D7E" w:rsidP="003A185E">
      <w:pPr>
        <w:tabs>
          <w:tab w:val="left" w:pos="8222"/>
        </w:tabs>
        <w:spacing w:before="120" w:after="120"/>
        <w:jc w:val="both"/>
        <w:rPr>
          <w:rFonts w:eastAsiaTheme="minorEastAsia" w:cstheme="minorHAnsi"/>
          <w:lang w:val="es-UY"/>
        </w:rPr>
      </w:pPr>
      <w:r w:rsidRPr="003A185E">
        <w:rPr>
          <w:rFonts w:eastAsiaTheme="minorEastAsia" w:cstheme="minorHAnsi"/>
          <w:lang w:val="es-UY"/>
        </w:rPr>
        <w:t xml:space="preserve">Las empresas PYMES son las que presentan mayor representatividad femenina en sus directorios. En este grupo de empresas, el promedio interanual de mujeres en dirección asciende a 15,7%, sensiblemente superior a la media. </w:t>
      </w:r>
    </w:p>
    <w:p w:rsidR="003A185E" w:rsidRDefault="003A185E" w:rsidP="003A185E">
      <w:pPr>
        <w:tabs>
          <w:tab w:val="left" w:pos="8222"/>
        </w:tabs>
        <w:spacing w:before="120" w:after="120"/>
        <w:jc w:val="both"/>
        <w:rPr>
          <w:rFonts w:eastAsiaTheme="minorEastAsia" w:cstheme="minorHAnsi"/>
          <w:lang w:val="es-UY"/>
        </w:rPr>
      </w:pPr>
    </w:p>
    <w:p w:rsidR="003A185E" w:rsidRPr="003A185E" w:rsidRDefault="003A185E" w:rsidP="003A185E">
      <w:pPr>
        <w:tabs>
          <w:tab w:val="left" w:pos="8222"/>
        </w:tabs>
        <w:spacing w:before="120" w:after="120"/>
        <w:jc w:val="both"/>
        <w:rPr>
          <w:rFonts w:eastAsiaTheme="minorEastAsia" w:cstheme="minorHAnsi"/>
          <w:b/>
          <w:lang w:val="es-UY"/>
        </w:rPr>
      </w:pPr>
      <w:r w:rsidRPr="003A185E">
        <w:rPr>
          <w:rFonts w:eastAsiaTheme="minorEastAsia" w:cstheme="minorHAnsi"/>
          <w:b/>
          <w:lang w:val="es-UY"/>
        </w:rPr>
        <w:t>Empresas Públicas</w:t>
      </w:r>
    </w:p>
    <w:p w:rsidR="0083000D" w:rsidRPr="003A185E" w:rsidRDefault="003A185E" w:rsidP="003A185E">
      <w:pPr>
        <w:tabs>
          <w:tab w:val="left" w:pos="8222"/>
        </w:tabs>
        <w:spacing w:before="120" w:after="120"/>
        <w:jc w:val="both"/>
        <w:rPr>
          <w:rFonts w:eastAsiaTheme="minorEastAsia" w:cstheme="minorHAnsi"/>
          <w:lang w:val="es-UY"/>
        </w:rPr>
      </w:pPr>
      <w:r>
        <w:rPr>
          <w:rFonts w:eastAsiaTheme="minorEastAsia" w:cstheme="minorHAnsi"/>
          <w:lang w:val="es-UY"/>
        </w:rPr>
        <w:t>S</w:t>
      </w:r>
      <w:r w:rsidR="00D24D7E" w:rsidRPr="003A185E">
        <w:rPr>
          <w:rFonts w:eastAsiaTheme="minorEastAsia" w:cstheme="minorHAnsi"/>
          <w:lang w:val="es-UY"/>
        </w:rPr>
        <w:t>i bien representa un segmento del mercado reducido en cantidad de participantes, el 100% de las empresas públicas cuentan con al menos 1 mujer en sus directorios.</w:t>
      </w:r>
    </w:p>
    <w:p w:rsidR="00DB7E6E" w:rsidRDefault="00DB7E6E" w:rsidP="00DB7E6E">
      <w:pPr>
        <w:tabs>
          <w:tab w:val="left" w:pos="8222"/>
        </w:tabs>
        <w:spacing w:before="120" w:after="120"/>
        <w:jc w:val="both"/>
        <w:rPr>
          <w:b/>
          <w:lang w:val="es-UY"/>
        </w:rPr>
      </w:pPr>
    </w:p>
    <w:p w:rsidR="00DB7E6E" w:rsidRPr="00DB7E6E" w:rsidRDefault="00DB7E6E" w:rsidP="00DB7E6E">
      <w:pPr>
        <w:tabs>
          <w:tab w:val="left" w:pos="8222"/>
        </w:tabs>
        <w:spacing w:before="120" w:after="120"/>
        <w:jc w:val="both"/>
        <w:rPr>
          <w:b/>
          <w:lang w:val="es-UY"/>
        </w:rPr>
      </w:pPr>
      <w:r w:rsidRPr="00DB7E6E">
        <w:rPr>
          <w:b/>
          <w:lang w:val="es-UY"/>
        </w:rPr>
        <w:t>Comparativa Mundial</w:t>
      </w:r>
    </w:p>
    <w:p w:rsidR="0083000D" w:rsidRPr="00DB7E6E" w:rsidRDefault="0083000D" w:rsidP="00DB7E6E">
      <w:pPr>
        <w:tabs>
          <w:tab w:val="left" w:pos="8222"/>
        </w:tabs>
        <w:spacing w:before="120" w:after="120"/>
        <w:jc w:val="both"/>
        <w:rPr>
          <w:rFonts w:eastAsiaTheme="minorEastAsia" w:cstheme="minorHAnsi"/>
          <w:lang w:val="es-UY"/>
        </w:rPr>
      </w:pPr>
      <w:r w:rsidRPr="00DB7E6E">
        <w:rPr>
          <w:lang w:val="es-UY"/>
        </w:rPr>
        <w:t>De acuerdo a los daros obtenidos la Argentina se encuentra dentro de los países con menor representatividad femenina en los directorios de las empresas participantes de los mercados de capitales del mundo.</w:t>
      </w:r>
    </w:p>
    <w:p w:rsidR="0081472A" w:rsidRPr="0083000D" w:rsidRDefault="0083000D" w:rsidP="0083000D">
      <w:pPr>
        <w:tabs>
          <w:tab w:val="left" w:pos="8222"/>
        </w:tabs>
        <w:spacing w:before="120" w:after="120"/>
        <w:jc w:val="both"/>
        <w:rPr>
          <w:rFonts w:eastAsiaTheme="minorEastAsia" w:cstheme="minorHAnsi"/>
          <w:lang w:val="es-UY"/>
        </w:rPr>
      </w:pPr>
      <w:r>
        <w:rPr>
          <w:rFonts w:eastAsiaTheme="minorEastAsia" w:cstheme="minorHAnsi"/>
          <w:noProof/>
          <w:lang w:val="es-ES" w:eastAsia="es-ES"/>
        </w:rPr>
        <w:lastRenderedPageBreak/>
        <w:pict>
          <v:rect id="Rectangle 25" o:spid="_x0000_s1026" style="position:absolute;left:0;text-align:left;margin-left:13.4pt;margin-top:183.95pt;width:277.55pt;height:21.25pt;z-index:25165824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83000D" w:rsidRDefault="0083000D" w:rsidP="0083000D">
                  <w:r w:rsidRPr="003557BA">
                    <w:rPr>
                      <w:rFonts w:ascii="Calibri" w:hAnsi="Calibri" w:cs="Calibri"/>
                      <w:color w:val="000000"/>
                      <w:sz w:val="16"/>
                      <w:szCs w:val="16"/>
                    </w:rPr>
                    <w:t>Porcentaje de Directoras en empresas bajo el Régimen de Oferta Pública de cada país</w:t>
                  </w:r>
                </w:p>
              </w:txbxContent>
            </v:textbox>
          </v:rect>
        </w:pict>
      </w:r>
      <w:r w:rsidRPr="0083000D">
        <w:rPr>
          <w:rFonts w:eastAsiaTheme="minorEastAsia" w:cstheme="minorHAnsi"/>
          <w:lang w:val="es-UY"/>
        </w:rPr>
        <w:drawing>
          <wp:inline distT="0" distB="0" distL="0" distR="0">
            <wp:extent cx="5612130" cy="2321560"/>
            <wp:effectExtent l="0" t="0" r="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3000D" w:rsidRDefault="0083000D" w:rsidP="00231BB2">
      <w:pPr>
        <w:jc w:val="both"/>
        <w:rPr>
          <w:rStyle w:val="Textoennegrita"/>
          <w:rFonts w:cstheme="minorHAnsi"/>
          <w:b w:val="0"/>
          <w:iCs/>
        </w:rPr>
      </w:pPr>
      <w:bookmarkStart w:id="0" w:name="_GoBack"/>
      <w:bookmarkEnd w:id="0"/>
    </w:p>
    <w:p w:rsidR="0081472A" w:rsidRPr="00575E7B" w:rsidRDefault="0081472A" w:rsidP="0081472A">
      <w:pPr>
        <w:pStyle w:val="Prrafodelista"/>
        <w:tabs>
          <w:tab w:val="left" w:pos="8222"/>
        </w:tabs>
        <w:spacing w:before="120" w:after="120"/>
        <w:jc w:val="both"/>
        <w:rPr>
          <w:rFonts w:eastAsiaTheme="minorEastAsia" w:cstheme="minorHAnsi"/>
        </w:rPr>
      </w:pPr>
    </w:p>
    <w:p w:rsidR="00BF42F4" w:rsidRPr="00575E7B" w:rsidRDefault="00BF42F4" w:rsidP="00BF42F4">
      <w:pPr>
        <w:pStyle w:val="Prrafodelista"/>
        <w:jc w:val="both"/>
        <w:rPr>
          <w:rFonts w:cstheme="minorHAnsi"/>
          <w:lang w:val="es-UY"/>
        </w:rPr>
      </w:pPr>
    </w:p>
    <w:p w:rsidR="00B223EE" w:rsidRPr="00575E7B" w:rsidRDefault="00B223EE" w:rsidP="00BF42F4">
      <w:pPr>
        <w:jc w:val="both"/>
        <w:rPr>
          <w:rFonts w:cstheme="minorHAnsi"/>
          <w:lang w:val="es-UY"/>
        </w:rPr>
      </w:pPr>
    </w:p>
    <w:sectPr w:rsidR="00B223EE" w:rsidRPr="00575E7B" w:rsidSect="000F3A30">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5667" w:rsidRDefault="00F15667" w:rsidP="009A45C4">
      <w:pPr>
        <w:spacing w:after="0" w:line="240" w:lineRule="auto"/>
      </w:pPr>
      <w:r>
        <w:separator/>
      </w:r>
    </w:p>
  </w:endnote>
  <w:endnote w:type="continuationSeparator" w:id="0">
    <w:p w:rsidR="00F15667" w:rsidRDefault="00F15667" w:rsidP="009A45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5667" w:rsidRDefault="00F15667" w:rsidP="009A45C4">
      <w:pPr>
        <w:spacing w:after="0" w:line="240" w:lineRule="auto"/>
      </w:pPr>
      <w:r>
        <w:separator/>
      </w:r>
    </w:p>
  </w:footnote>
  <w:footnote w:type="continuationSeparator" w:id="0">
    <w:p w:rsidR="00F15667" w:rsidRDefault="00F15667" w:rsidP="009A45C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27308"/>
    <w:multiLevelType w:val="hybridMultilevel"/>
    <w:tmpl w:val="ABD49576"/>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3FFA172B"/>
    <w:multiLevelType w:val="hybridMultilevel"/>
    <w:tmpl w:val="62F8455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400D6114"/>
    <w:multiLevelType w:val="hybridMultilevel"/>
    <w:tmpl w:val="1E38C9DA"/>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43222E0C"/>
    <w:multiLevelType w:val="hybridMultilevel"/>
    <w:tmpl w:val="79D69BD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4FF242D9"/>
    <w:multiLevelType w:val="hybridMultilevel"/>
    <w:tmpl w:val="DEC4A33A"/>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5836671A"/>
    <w:multiLevelType w:val="hybridMultilevel"/>
    <w:tmpl w:val="0E9CCAEC"/>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6B6E19C0"/>
    <w:multiLevelType w:val="hybridMultilevel"/>
    <w:tmpl w:val="78BC6564"/>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6D034D1D"/>
    <w:multiLevelType w:val="hybridMultilevel"/>
    <w:tmpl w:val="42A4F0F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73F71D49"/>
    <w:multiLevelType w:val="hybridMultilevel"/>
    <w:tmpl w:val="47E235C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76654C50"/>
    <w:multiLevelType w:val="hybridMultilevel"/>
    <w:tmpl w:val="519C37B6"/>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0"/>
  </w:num>
  <w:num w:numId="5">
    <w:abstractNumId w:val="5"/>
  </w:num>
  <w:num w:numId="6">
    <w:abstractNumId w:val="1"/>
  </w:num>
  <w:num w:numId="7">
    <w:abstractNumId w:val="9"/>
  </w:num>
  <w:num w:numId="8">
    <w:abstractNumId w:val="3"/>
  </w:num>
  <w:num w:numId="9">
    <w:abstractNumId w:val="7"/>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1"/>
    <w:footnote w:id="0"/>
  </w:footnotePr>
  <w:endnotePr>
    <w:endnote w:id="-1"/>
    <w:endnote w:id="0"/>
  </w:endnotePr>
  <w:compat/>
  <w:rsids>
    <w:rsidRoot w:val="002D0267"/>
    <w:rsid w:val="00012DFE"/>
    <w:rsid w:val="000E5C95"/>
    <w:rsid w:val="000F3A30"/>
    <w:rsid w:val="00122787"/>
    <w:rsid w:val="00135716"/>
    <w:rsid w:val="002031F4"/>
    <w:rsid w:val="00231BB2"/>
    <w:rsid w:val="002D0267"/>
    <w:rsid w:val="003735D8"/>
    <w:rsid w:val="00382542"/>
    <w:rsid w:val="003A185E"/>
    <w:rsid w:val="003E12E0"/>
    <w:rsid w:val="004250E9"/>
    <w:rsid w:val="004F053D"/>
    <w:rsid w:val="005678E7"/>
    <w:rsid w:val="00575E7B"/>
    <w:rsid w:val="005D1872"/>
    <w:rsid w:val="005D74AF"/>
    <w:rsid w:val="005F2944"/>
    <w:rsid w:val="007961EB"/>
    <w:rsid w:val="007F295A"/>
    <w:rsid w:val="0081472A"/>
    <w:rsid w:val="0083000D"/>
    <w:rsid w:val="00857CB2"/>
    <w:rsid w:val="00894773"/>
    <w:rsid w:val="008C275E"/>
    <w:rsid w:val="00974982"/>
    <w:rsid w:val="009A45C4"/>
    <w:rsid w:val="00A1546B"/>
    <w:rsid w:val="00A41FB1"/>
    <w:rsid w:val="00A724F4"/>
    <w:rsid w:val="00B223EE"/>
    <w:rsid w:val="00B75FBF"/>
    <w:rsid w:val="00BB2D49"/>
    <w:rsid w:val="00BF42F4"/>
    <w:rsid w:val="00C435E0"/>
    <w:rsid w:val="00C44339"/>
    <w:rsid w:val="00C606CF"/>
    <w:rsid w:val="00CA58EF"/>
    <w:rsid w:val="00CE4B01"/>
    <w:rsid w:val="00CF3E6B"/>
    <w:rsid w:val="00D24D7E"/>
    <w:rsid w:val="00D25266"/>
    <w:rsid w:val="00D552A4"/>
    <w:rsid w:val="00D84F4A"/>
    <w:rsid w:val="00D86380"/>
    <w:rsid w:val="00DB7E6E"/>
    <w:rsid w:val="00E04105"/>
    <w:rsid w:val="00E71A05"/>
    <w:rsid w:val="00F15667"/>
    <w:rsid w:val="00F701F8"/>
    <w:rsid w:val="00F83F7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A30"/>
  </w:style>
  <w:style w:type="paragraph" w:styleId="Ttulo1">
    <w:name w:val="heading 1"/>
    <w:basedOn w:val="Normal"/>
    <w:next w:val="Normal"/>
    <w:link w:val="Ttulo1Car"/>
    <w:uiPriority w:val="9"/>
    <w:qFormat/>
    <w:rsid w:val="009A45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A45C4"/>
    <w:rPr>
      <w:rFonts w:asciiTheme="majorHAnsi" w:eastAsiaTheme="majorEastAsia" w:hAnsiTheme="majorHAnsi" w:cstheme="majorBidi"/>
      <w:b/>
      <w:bCs/>
      <w:color w:val="365F91" w:themeColor="accent1" w:themeShade="BF"/>
      <w:sz w:val="28"/>
      <w:szCs w:val="28"/>
    </w:rPr>
  </w:style>
  <w:style w:type="character" w:styleId="Textoennegrita">
    <w:name w:val="Strong"/>
    <w:basedOn w:val="Fuentedeprrafopredeter"/>
    <w:uiPriority w:val="22"/>
    <w:unhideWhenUsed/>
    <w:qFormat/>
    <w:rsid w:val="009A45C4"/>
    <w:rPr>
      <w:b/>
      <w:bCs/>
    </w:rPr>
  </w:style>
  <w:style w:type="character" w:styleId="Hipervnculo">
    <w:name w:val="Hyperlink"/>
    <w:basedOn w:val="Fuentedeprrafopredeter"/>
    <w:uiPriority w:val="99"/>
    <w:unhideWhenUsed/>
    <w:rsid w:val="009A45C4"/>
    <w:rPr>
      <w:rFonts w:ascii="Segoe UI" w:hAnsi="Segoe UI"/>
      <w:color w:val="0000FF" w:themeColor="hyperlink"/>
      <w:sz w:val="22"/>
      <w:u w:val="single"/>
    </w:rPr>
  </w:style>
  <w:style w:type="paragraph" w:styleId="Textonotapie">
    <w:name w:val="footnote text"/>
    <w:basedOn w:val="Normal"/>
    <w:link w:val="TextonotapieCar"/>
    <w:uiPriority w:val="99"/>
    <w:unhideWhenUsed/>
    <w:rsid w:val="009A45C4"/>
    <w:rPr>
      <w:rFonts w:ascii="Calibri" w:eastAsia="Arial" w:hAnsi="Calibri" w:cs="Arial"/>
      <w:sz w:val="16"/>
      <w:szCs w:val="16"/>
      <w:lang w:val="en-AU" w:eastAsia="ja-JP"/>
    </w:rPr>
  </w:style>
  <w:style w:type="character" w:customStyle="1" w:styleId="TextonotapieCar">
    <w:name w:val="Texto nota pie Car"/>
    <w:basedOn w:val="Fuentedeprrafopredeter"/>
    <w:link w:val="Textonotapie"/>
    <w:uiPriority w:val="99"/>
    <w:rsid w:val="009A45C4"/>
    <w:rPr>
      <w:rFonts w:ascii="Calibri" w:eastAsia="Arial" w:hAnsi="Calibri" w:cs="Arial"/>
      <w:sz w:val="16"/>
      <w:szCs w:val="16"/>
      <w:lang w:val="en-AU" w:eastAsia="ja-JP"/>
    </w:rPr>
  </w:style>
  <w:style w:type="character" w:styleId="Refdenotaalpie">
    <w:name w:val="footnote reference"/>
    <w:basedOn w:val="Fuentedeprrafopredeter"/>
    <w:uiPriority w:val="99"/>
    <w:unhideWhenUsed/>
    <w:rsid w:val="009A45C4"/>
    <w:rPr>
      <w:vertAlign w:val="superscript"/>
    </w:rPr>
  </w:style>
  <w:style w:type="paragraph" w:styleId="Prrafodelista">
    <w:name w:val="List Paragraph"/>
    <w:basedOn w:val="Normal"/>
    <w:uiPriority w:val="34"/>
    <w:qFormat/>
    <w:rsid w:val="009A45C4"/>
    <w:pPr>
      <w:ind w:left="720"/>
      <w:contextualSpacing/>
    </w:pPr>
  </w:style>
  <w:style w:type="character" w:styleId="Refdecomentario">
    <w:name w:val="annotation reference"/>
    <w:basedOn w:val="Fuentedeprrafopredeter"/>
    <w:uiPriority w:val="99"/>
    <w:semiHidden/>
    <w:unhideWhenUsed/>
    <w:rsid w:val="005678E7"/>
    <w:rPr>
      <w:sz w:val="16"/>
      <w:szCs w:val="16"/>
    </w:rPr>
  </w:style>
  <w:style w:type="paragraph" w:styleId="Textocomentario">
    <w:name w:val="annotation text"/>
    <w:basedOn w:val="Normal"/>
    <w:link w:val="TextocomentarioCar"/>
    <w:uiPriority w:val="99"/>
    <w:semiHidden/>
    <w:unhideWhenUsed/>
    <w:rsid w:val="005678E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678E7"/>
    <w:rPr>
      <w:sz w:val="20"/>
      <w:szCs w:val="20"/>
    </w:rPr>
  </w:style>
  <w:style w:type="paragraph" w:styleId="Asuntodelcomentario">
    <w:name w:val="annotation subject"/>
    <w:basedOn w:val="Textocomentario"/>
    <w:next w:val="Textocomentario"/>
    <w:link w:val="AsuntodelcomentarioCar"/>
    <w:uiPriority w:val="99"/>
    <w:semiHidden/>
    <w:unhideWhenUsed/>
    <w:rsid w:val="005678E7"/>
    <w:rPr>
      <w:b/>
      <w:bCs/>
    </w:rPr>
  </w:style>
  <w:style w:type="character" w:customStyle="1" w:styleId="AsuntodelcomentarioCar">
    <w:name w:val="Asunto del comentario Car"/>
    <w:basedOn w:val="TextocomentarioCar"/>
    <w:link w:val="Asuntodelcomentario"/>
    <w:uiPriority w:val="99"/>
    <w:semiHidden/>
    <w:rsid w:val="005678E7"/>
    <w:rPr>
      <w:b/>
      <w:bCs/>
      <w:sz w:val="20"/>
      <w:szCs w:val="20"/>
    </w:rPr>
  </w:style>
  <w:style w:type="paragraph" w:styleId="Textodeglobo">
    <w:name w:val="Balloon Text"/>
    <w:basedOn w:val="Normal"/>
    <w:link w:val="TextodegloboCar"/>
    <w:uiPriority w:val="99"/>
    <w:semiHidden/>
    <w:unhideWhenUsed/>
    <w:rsid w:val="005678E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678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package" Target="embeddings/Hoja_de_c_lculo_de_Microsoft_Office_Excel1.xls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6.emf"/></Relationships>
</file>

<file path=word/charts/_rels/chart1.xml.rels><?xml version="1.0" encoding="UTF-8" standalone="yes"?>
<Relationships xmlns="http://schemas.openxmlformats.org/package/2006/relationships"><Relationship Id="rId1" Type="http://schemas.openxmlformats.org/officeDocument/2006/relationships/oleObject" Target="file:///E:\INFORME%20DE%20GENERO\nuevo%20relevamiento%20V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S"/>
  <c:chart>
    <c:plotArea>
      <c:layout>
        <c:manualLayout>
          <c:layoutTarget val="inner"/>
          <c:xMode val="edge"/>
          <c:yMode val="edge"/>
          <c:x val="3.0822288486882281E-2"/>
          <c:y val="6.3329501835635807E-2"/>
          <c:w val="0.89807219322303866"/>
          <c:h val="0.74137075489789594"/>
        </c:manualLayout>
      </c:layout>
      <c:barChart>
        <c:barDir val="col"/>
        <c:grouping val="clustered"/>
        <c:ser>
          <c:idx val="0"/>
          <c:order val="0"/>
          <c:spPr>
            <a:solidFill>
              <a:srgbClr val="00B0F0"/>
            </a:solidFill>
          </c:spPr>
          <c:dPt>
            <c:idx val="2"/>
            <c:spPr>
              <a:solidFill>
                <a:srgbClr val="FEBC0C"/>
              </a:solidFill>
            </c:spPr>
          </c:dPt>
          <c:dLbls>
            <c:numFmt formatCode="#.#00%" sourceLinked="0"/>
            <c:txPr>
              <a:bodyPr/>
              <a:lstStyle/>
              <a:p>
                <a:pPr>
                  <a:defRPr lang="es-AR" sz="800"/>
                </a:pPr>
                <a:endParaRPr lang="es-ES"/>
              </a:p>
            </c:txPr>
            <c:showVal val="1"/>
          </c:dLbls>
          <c:cat>
            <c:strRef>
              <c:f>Internacionales!$A$4:$A$17</c:f>
              <c:strCache>
                <c:ptCount val="14"/>
                <c:pt idx="0">
                  <c:v>Jordania</c:v>
                </c:pt>
                <c:pt idx="1">
                  <c:v>Brasil</c:v>
                </c:pt>
                <c:pt idx="2">
                  <c:v>Argentina</c:v>
                </c:pt>
                <c:pt idx="3">
                  <c:v>Egipto</c:v>
                </c:pt>
                <c:pt idx="4">
                  <c:v>Kazakhstan</c:v>
                </c:pt>
                <c:pt idx="5">
                  <c:v>China</c:v>
                </c:pt>
                <c:pt idx="6">
                  <c:v>India</c:v>
                </c:pt>
                <c:pt idx="7">
                  <c:v>USA</c:v>
                </c:pt>
                <c:pt idx="8">
                  <c:v>Inglaterra</c:v>
                </c:pt>
                <c:pt idx="9">
                  <c:v>Italia</c:v>
                </c:pt>
                <c:pt idx="10">
                  <c:v>Kenya</c:v>
                </c:pt>
                <c:pt idx="11">
                  <c:v>Australia</c:v>
                </c:pt>
                <c:pt idx="12">
                  <c:v>Alemania</c:v>
                </c:pt>
                <c:pt idx="13">
                  <c:v>Sudafrica</c:v>
                </c:pt>
              </c:strCache>
            </c:strRef>
          </c:cat>
          <c:val>
            <c:numRef>
              <c:f>Internacionales!$B$4:$B$17</c:f>
              <c:numCache>
                <c:formatCode>#.000%</c:formatCode>
                <c:ptCount val="14"/>
                <c:pt idx="0">
                  <c:v>3.5000000000000059E-2</c:v>
                </c:pt>
                <c:pt idx="1">
                  <c:v>9.0000000000000066E-2</c:v>
                </c:pt>
                <c:pt idx="2">
                  <c:v>0.10400000000000002</c:v>
                </c:pt>
                <c:pt idx="3">
                  <c:v>0.11000000000000007</c:v>
                </c:pt>
                <c:pt idx="4">
                  <c:v>0.11000000000000007</c:v>
                </c:pt>
                <c:pt idx="5">
                  <c:v>0.15000000000000024</c:v>
                </c:pt>
                <c:pt idx="6">
                  <c:v>0.2</c:v>
                </c:pt>
                <c:pt idx="7">
                  <c:v>0.2</c:v>
                </c:pt>
                <c:pt idx="8">
                  <c:v>0.27</c:v>
                </c:pt>
                <c:pt idx="9">
                  <c:v>0.27</c:v>
                </c:pt>
                <c:pt idx="10">
                  <c:v>0.27</c:v>
                </c:pt>
                <c:pt idx="11">
                  <c:v>0.33000000000000135</c:v>
                </c:pt>
                <c:pt idx="12">
                  <c:v>0.41000000000000031</c:v>
                </c:pt>
                <c:pt idx="13">
                  <c:v>0.45</c:v>
                </c:pt>
              </c:numCache>
            </c:numRef>
          </c:val>
        </c:ser>
        <c:gapWidth val="79"/>
        <c:axId val="103511168"/>
        <c:axId val="103532032"/>
      </c:barChart>
      <c:catAx>
        <c:axId val="103511168"/>
        <c:scaling>
          <c:orientation val="minMax"/>
        </c:scaling>
        <c:axPos val="b"/>
        <c:tickLblPos val="nextTo"/>
        <c:txPr>
          <a:bodyPr/>
          <a:lstStyle/>
          <a:p>
            <a:pPr>
              <a:defRPr lang="es-AR" sz="800"/>
            </a:pPr>
            <a:endParaRPr lang="es-ES"/>
          </a:p>
        </c:txPr>
        <c:crossAx val="103532032"/>
        <c:crosses val="autoZero"/>
        <c:auto val="1"/>
        <c:lblAlgn val="ctr"/>
        <c:lblOffset val="100"/>
      </c:catAx>
      <c:valAx>
        <c:axId val="103532032"/>
        <c:scaling>
          <c:orientation val="minMax"/>
        </c:scaling>
        <c:delete val="1"/>
        <c:axPos val="l"/>
        <c:numFmt formatCode="#.000%" sourceLinked="1"/>
        <c:tickLblPos val="none"/>
        <c:crossAx val="103511168"/>
        <c:crosses val="autoZero"/>
        <c:crossBetween val="between"/>
      </c:valAx>
      <c:spPr>
        <a:noFill/>
      </c:spPr>
    </c:plotArea>
    <c:plotVisOnly val="1"/>
    <c:dispBlanksAs val="gap"/>
  </c:chart>
  <c:spPr>
    <a:noFill/>
    <a:ln>
      <a:noFill/>
    </a:ln>
  </c:spPr>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6095F-19C9-46D1-B1F8-0019F65D0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805</Words>
  <Characters>4428</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Mercedes Ales</dc:creator>
  <cp:lastModifiedBy>MALE Y TOMI</cp:lastModifiedBy>
  <cp:revision>4</cp:revision>
  <cp:lastPrinted>2018-02-28T17:48:00Z</cp:lastPrinted>
  <dcterms:created xsi:type="dcterms:W3CDTF">2018-03-07T06:17:00Z</dcterms:created>
  <dcterms:modified xsi:type="dcterms:W3CDTF">2018-03-07T06:21:00Z</dcterms:modified>
</cp:coreProperties>
</file>